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7e55ad3d188feb2111b71ffb244cf26d3618e"/>
    <w:p>
      <w:pPr>
        <w:pStyle w:val="Heading3"/>
      </w:pPr>
      <w:r>
        <w:t xml:space="preserve">Установка более 260 подъемных платформ для МГН согласована в Москве за 2021 год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drawing>
          <wp:inline>
            <wp:extent cx="5334000" cy="97016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exp.mos.ru/www/upload/medialibrary/b3f/statistika-vydachi-polozhitelnykh-zaklyucheniy-na-ustanovku-podemnykh-platform-dlya-mgn-za-2021-g.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16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Комитет города Москвы по ценовой политике в строительстве и государственной экспертизе проектов (Москомэкспертиза) сообщает о статистике согласования проектной документации для установки подъемных платформ для обеспечения беспрепятственного доступа инвалидам-колясочникам в многоквартирные дома Москвы в 2021 году. В рамках работ предусматривалось оборудование подъездов жилых домов платформами для комфортного доступа маломобильных граждан на площадку первой остановки лифта.</w:t>
      </w:r>
    </w:p>
    <w:p>
      <w:pPr>
        <w:pStyle w:val="BodyText"/>
      </w:pPr>
      <w:r>
        <w:t xml:space="preserve">В Москве продолжается реализация широкого спектра работ в рамках социальной поддержки жителей города. О статистике согласования проектов по установке подъемных платформ в жилых домах столицы сообщил председатель Москомэкспертизы</w:t>
      </w:r>
      <w:r>
        <w:t xml:space="preserve"> </w:t>
      </w:r>
      <w:r>
        <w:rPr>
          <w:bCs/>
          <w:b/>
        </w:rPr>
        <w:t xml:space="preserve">Валерий Леонов.</w:t>
      </w:r>
    </w:p>
    <w:p>
      <w:pPr>
        <w:pStyle w:val="BodyText"/>
      </w:pPr>
      <w:r>
        <w:t xml:space="preserve">В 2021 году положительные заключения в рамках государственной экспертизы были выданы</w:t>
      </w:r>
      <w:r>
        <w:t xml:space="preserve"> </w:t>
      </w:r>
      <w:r>
        <w:rPr>
          <w:bCs/>
          <w:b/>
        </w:rPr>
        <w:t xml:space="preserve">для 262 проектов</w:t>
      </w:r>
      <w:r>
        <w:t xml:space="preserve">. Из них больше всего –</w:t>
      </w:r>
      <w:r>
        <w:t xml:space="preserve"> </w:t>
      </w:r>
      <w:r>
        <w:rPr>
          <w:bCs/>
          <w:b/>
        </w:rPr>
        <w:t xml:space="preserve">90</w:t>
      </w:r>
      <w:r>
        <w:t xml:space="preserve"> </w:t>
      </w:r>
      <w:r>
        <w:t xml:space="preserve">проектов – относятся к Западному административному округу Москвы.</w:t>
      </w:r>
      <w:r>
        <w:t xml:space="preserve"> </w:t>
      </w:r>
      <w:r>
        <w:rPr>
          <w:bCs/>
          <w:b/>
        </w:rPr>
        <w:t xml:space="preserve">47</w:t>
      </w:r>
      <w:r>
        <w:t xml:space="preserve"> </w:t>
      </w:r>
      <w:r>
        <w:t xml:space="preserve">положительных заключений выдано для проектов на юге города, а</w:t>
      </w:r>
      <w:r>
        <w:t xml:space="preserve"> </w:t>
      </w:r>
      <w:r>
        <w:rPr>
          <w:bCs/>
          <w:b/>
        </w:rPr>
        <w:t xml:space="preserve">30</w:t>
      </w:r>
      <w:r>
        <w:t xml:space="preserve"> </w:t>
      </w:r>
      <w:r>
        <w:t xml:space="preserve">– на северо-востоке.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проекта и</w:t>
      </w:r>
      <w:r>
        <w:t xml:space="preserve"> </w:t>
      </w:r>
      <w:r>
        <w:rPr>
          <w:bCs/>
          <w:b/>
        </w:rPr>
        <w:t xml:space="preserve">21</w:t>
      </w:r>
      <w:r>
        <w:t xml:space="preserve"> </w:t>
      </w:r>
      <w:r>
        <w:t xml:space="preserve">одобрили для Восточного и Юго-Восточного округов соответственно, по</w:t>
      </w:r>
      <w:r>
        <w:t xml:space="preserve"> </w:t>
      </w:r>
      <w:r>
        <w:rPr>
          <w:bCs/>
          <w:b/>
        </w:rPr>
        <w:t xml:space="preserve">14</w:t>
      </w:r>
      <w:r>
        <w:t xml:space="preserve"> </w:t>
      </w:r>
      <w:r>
        <w:t xml:space="preserve">проектов утверждено в Северном и Зеленоградском округах. В ЮЗАО одобрены работы в рамках</w:t>
      </w:r>
      <w:r>
        <w:t xml:space="preserve"> </w:t>
      </w:r>
      <w:r>
        <w:rPr>
          <w:bCs/>
          <w:b/>
        </w:rPr>
        <w:t xml:space="preserve">12</w:t>
      </w:r>
      <w:r>
        <w:t xml:space="preserve"> </w:t>
      </w:r>
      <w:r>
        <w:t xml:space="preserve">проектов, в СЗАО –</w:t>
      </w:r>
      <w:r>
        <w:t xml:space="preserve"> </w:t>
      </w:r>
      <w:r>
        <w:rPr>
          <w:bCs/>
          <w:b/>
        </w:rPr>
        <w:t xml:space="preserve">9</w:t>
      </w:r>
      <w:r>
        <w:t xml:space="preserve">. Также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заключения относятся к ЦАО, а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– к ТАО.</w:t>
      </w:r>
    </w:p>
    <w:p>
      <w:pPr>
        <w:pStyle w:val="BodyText"/>
      </w:pPr>
      <w:r>
        <w:rPr>
          <w:iCs/>
          <w:i/>
        </w:rPr>
        <w:t xml:space="preserve">«В рамках работ предусматривалось оборудование подъездов жилых домов платформами для комфортного доступа маломобильных граждан на площадку первой остановки лифта. Также проекты могут включать обновление лестничного марша и замену ограждения, приспособление входной группы и площадки крыльца, замену входных дверей на аналоги, оборудованные системой автоматического открывания»,</w:t>
      </w:r>
      <w:r>
        <w:t xml:space="preserve"> </w:t>
      </w:r>
      <w:r>
        <w:t xml:space="preserve">– объяснил глава ведомства.</w:t>
      </w:r>
    </w:p>
    <w:p>
      <w:pPr>
        <w:pStyle w:val="BodyText"/>
      </w:pPr>
      <w:r>
        <w:t xml:space="preserve">Помимо этого, проекты включают модернизацию систем электроснабжения и освещения лестничной клетки, а также систем диспетчеризации, видеонаблюдения и сигнализации.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http://exp.mos.ru/presscenter/news/detail/10589761.html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exp.mos.ru" TargetMode="External" /><Relationship Type="http://schemas.openxmlformats.org/officeDocument/2006/relationships/hyperlink" Id="rId23" Target="http://exp.mos.ru/presscenter/news/detail/10589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exp.mos.ru" TargetMode="External" /><Relationship Type="http://schemas.openxmlformats.org/officeDocument/2006/relationships/hyperlink" Id="rId23" Target="http://exp.mos.ru/presscenter/news/detail/10589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2025-07-18T15:03:34Z</dcterms:created>
  <dcterms:modified xsi:type="dcterms:W3CDTF">2025-07-18T15:03:34Z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