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федеральном-законе-254-фз"/>
    <w:p>
      <w:pPr>
        <w:pStyle w:val="Heading3"/>
      </w:pPr>
      <w:r>
        <w:t xml:space="preserve">О Федеральном законе № 254-ФЗ</w:t>
      </w:r>
    </w:p>
    <w:p>
      <w:pPr>
        <w:pStyle w:val="FirstParagraph"/>
      </w:pPr>
      <w:r>
        <w:t xml:space="preserve">21.08.2020</w:t>
      </w:r>
    </w:p>
    <w:p>
      <w:pPr>
        <w:pStyle w:val="BodyText"/>
      </w:pPr>
      <w:r>
        <w:rPr>
          <w:bCs/>
          <w:b/>
        </w:rPr>
        <w:t xml:space="preserve">Уважаемые заявители!</w:t>
      </w:r>
    </w:p>
    <w:p>
      <w:pPr>
        <w:pStyle w:val="BodyText"/>
      </w:pPr>
      <w:r>
        <w:t xml:space="preserve">Информируем Вас, что 31 июля 2020 г. принят, официально опубликован и вступил в силу</w:t>
      </w:r>
      <w:r>
        <w:t xml:space="preserve"> </w:t>
      </w:r>
      <w:r>
        <w:rPr>
          <w:bCs/>
          <w:b/>
        </w:rPr>
        <w:t xml:space="preserve">Федеральный закон № 254-ФЗ</w:t>
      </w:r>
      <w:r>
        <w:t xml:space="preserve"> </w:t>
      </w:r>
      <w:r>
        <w:t xml:space="preserve">«Об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Федерации».</w:t>
      </w:r>
    </w:p>
    <w:p>
      <w:pPr>
        <w:pStyle w:val="BodyText"/>
      </w:pPr>
      <w:r>
        <w:t xml:space="preserve">Указанным законом, в том числе определены особенности регулирования градостроительной деятельности в отношении объектов магистральной инфраструктуры,</w:t>
      </w:r>
      <w:r>
        <w:t xml:space="preserve"> </w:t>
      </w:r>
      <w:r>
        <w:rPr>
          <w:bCs/>
          <w:b/>
        </w:rPr>
        <w:t xml:space="preserve">конкретный круг которых будет определен Правительством РФ</w:t>
      </w:r>
      <w:r>
        <w:t xml:space="preserve"> </w:t>
      </w:r>
      <w:r>
        <w:t xml:space="preserve">(особенности подлежат применению по 31 декабря 2024 г. включительно).</w:t>
      </w:r>
    </w:p>
    <w:p>
      <w:pPr>
        <w:pStyle w:val="BodyText"/>
      </w:pPr>
      <w:r>
        <w:t xml:space="preserve">Одной из указанных особенностей является возможность при строительстве линейного объекта транспортной инфраструктуры из числа таких объектов разрабатывать проектную документацию, проводить ее государственную экспертизу, а также выдавать разрешение на строительство даже в случае, если объект или него часть не могут быть введены в эксплуатацию и эксплуатироваться автономно.</w:t>
      </w:r>
    </w:p>
    <w:p>
      <w:pPr>
        <w:pStyle w:val="BodyText"/>
      </w:pPr>
      <w:r>
        <w:t xml:space="preserve">Мосгосэкспертиза в установленных случаях будет принимать </w:t>
      </w:r>
    </w:p>
    <w:p>
      <w:pPr>
        <w:pStyle w:val="BodyText"/>
      </w:pPr>
      <w:r>
        <w:t xml:space="preserve">на государственную экспертизу проектную документацию в отношении указанных объектов (их частей)</w:t>
      </w:r>
      <w:r>
        <w:t xml:space="preserve"> </w:t>
      </w:r>
      <w:r>
        <w:rPr>
          <w:bCs/>
          <w:b/>
        </w:rPr>
        <w:t xml:space="preserve">после утверждения перечня объектов Правительством РФ</w:t>
      </w:r>
      <w:r>
        <w:t xml:space="preserve">, даже если они не могут быть введены в эксплуатацию и эксплуатироваться автономно.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http://exp.mos.ru/presscenter/informatsiya-dlya-zayaviteley/detail/9155246.html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informatsiya-dlya-zayaviteley/detail/9155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informatsiya-dlya-zayaviteley/detail/9155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2025-06-02T23:38:35Z</dcterms:created>
  <dcterms:modified xsi:type="dcterms:W3CDTF">2025-06-02T23:38:35Z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