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7ba8dea8be676a8d305983485110ff80f4d222"/>
    <w:p>
      <w:pPr>
        <w:pStyle w:val="Heading3"/>
      </w:pPr>
      <w:r>
        <w:t xml:space="preserve">Комментарии к новым правовым актам Правительства Москвы об особенностях ценообразования и сметного нормирования города Москвы в формате «вопрос-ответ»</w:t>
      </w:r>
    </w:p>
    <w:p>
      <w:pPr>
        <w:pStyle w:val="FirstParagraph"/>
      </w:pPr>
      <w:r>
        <w:t xml:space="preserve">28.08.2024</w:t>
      </w:r>
    </w:p>
    <w:p>
      <w:pPr>
        <w:pStyle w:val="BodyText"/>
      </w:pPr>
      <w:r>
        <w:rPr>
          <w:bCs/>
          <w:b/>
        </w:rPr>
        <w:t xml:space="preserve">Комментарии к новым правовым актам Правительства Москвы (постановление Правительства Москвы от 23.05.2024 № 1098-ПП, распоряжение Правительства Москвы от 04.06.2024 № 405-РП, от 20.08.2024 № 638-РП) об особенностях ценообразования и сметного нормирования города Москвы в формате «вопрос-ответ»</w:t>
      </w:r>
    </w:p>
    <w:p>
      <w:pPr>
        <w:pStyle w:val="BodyText"/>
      </w:pPr>
      <w:r>
        <w:br/>
      </w:r>
    </w:p>
    <w:p>
      <w:pPr>
        <w:pStyle w:val="BodyText"/>
      </w:pPr>
      <w:r>
        <w:rPr>
          <w:bCs/>
          <w:b/>
        </w:rPr>
        <w:t xml:space="preserve">№ п/п</w:t>
      </w:r>
    </w:p>
    <w:p>
      <w:pPr>
        <w:pStyle w:val="BodyText"/>
      </w:pPr>
      <w:r>
        <w:rPr>
          <w:bCs/>
          <w:b/>
        </w:rPr>
        <w:t xml:space="preserve">Вопрос - ответ</w:t>
      </w:r>
    </w:p>
    <w:p>
      <w:pPr>
        <w:pStyle w:val="BodyText"/>
      </w:pPr>
      <w:r>
        <w:rPr>
          <w:bCs/>
          <w:b/>
        </w:rPr>
        <w:t xml:space="preserve">1</w:t>
      </w:r>
    </w:p>
    <w:p>
      <w:pPr>
        <w:pStyle w:val="BodyText"/>
      </w:pPr>
      <w:r>
        <w:rPr>
          <w:bCs/>
          <w:b/>
        </w:rPr>
        <w:t xml:space="preserve">Вопрос:</w:t>
      </w:r>
      <w:r>
        <w:t xml:space="preserve"> </w:t>
      </w:r>
      <w:r>
        <w:t xml:space="preserve">В каком уровне цен необходимо составить сметную документацию для ее представления в Мосгосэкспертизу в целях одновременного рассмотрения технической и сметной части проектной документации?</w:t>
      </w:r>
    </w:p>
    <w:p>
      <w:pPr>
        <w:pStyle w:val="BodyText"/>
      </w:pPr>
      <w:r>
        <w:rPr>
          <w:bCs/>
          <w:b/>
        </w:rPr>
        <w:t xml:space="preserve">Ответ:</w:t>
      </w:r>
      <w:r>
        <w:t xml:space="preserve"> </w:t>
      </w:r>
      <w:r>
        <w:t xml:space="preserve">С учетом пункта 20(1) и подпункта «к(2)» пункта 13 Положения об организации и проведении государственной экспертизы проектной документации и результатов инженерных изысканий, утвержденного постановлением Правительства РФ от 05.03.2007 № 145, в данном случае при первичном рассмотрении сметная документация составляется в уровне цен на дату ее представления застройщику, техническому заказчику (такая дата определяется по акту передачи документации).</w:t>
      </w:r>
    </w:p>
    <w:p>
      <w:pPr>
        <w:pStyle w:val="BodyText"/>
      </w:pPr>
      <w:r>
        <w:t xml:space="preserve">С учетом пункта 45(12) Положения об организации и проведении государственной экспертизы проектной документации и результатов инженерных изысканий, утвержденного постановлением Правительства РФ от 05.03.2007 № 145, в данном случае при повторном рассмотрении после корректировки сметная документация составляется в двух уровнях цен: в уровне цен первичного положительного заключения (в неизменяемой части) и в уровне цен на дату представления документов для проведения повторной государственной экспертизы (в откорректированной части).</w:t>
      </w:r>
    </w:p>
    <w:p>
      <w:pPr>
        <w:pStyle w:val="BodyText"/>
      </w:pPr>
      <w:r>
        <w:rPr>
          <w:bCs/>
          <w:b/>
        </w:rPr>
        <w:t xml:space="preserve">2</w:t>
      </w:r>
    </w:p>
    <w:p>
      <w:pPr>
        <w:pStyle w:val="BodyText"/>
      </w:pPr>
      <w:r>
        <w:rPr>
          <w:bCs/>
          <w:b/>
        </w:rPr>
        <w:t xml:space="preserve">Вопрос:</w:t>
      </w:r>
      <w:r>
        <w:t xml:space="preserve"> </w:t>
      </w:r>
      <w:r>
        <w:t xml:space="preserve">В каком уровне цен необходимо составить сметную документацию для ее представления в Мосгосэкспертизу после получения положительного заключения государственной экспертизы по технической части проектной документации (если сметная документация рассматривается отдельно впервые)?</w:t>
      </w:r>
    </w:p>
    <w:p>
      <w:pPr>
        <w:pStyle w:val="BodyText"/>
      </w:pPr>
      <w:r>
        <w:rPr>
          <w:bCs/>
          <w:b/>
        </w:rPr>
        <w:t xml:space="preserve">Ответ:</w:t>
      </w:r>
      <w:r>
        <w:t xml:space="preserve"> </w:t>
      </w:r>
      <w:r>
        <w:t xml:space="preserve">С учетом пункта 1.1.1 постановления Правительства Москвы от 29.11.2019 № 1587-ПП «Об особенностях ценообразования и сметного нормирования» сметная документация должна быть составлена в уровне цен на период, соответствующий дате утверждения первичного положительного заключения по технической части проектной документации (наличие последующих корректировок технической части без проведения проверки достоверности определения сметной стоимости не влияет на уровень цен).</w:t>
      </w:r>
    </w:p>
    <w:p>
      <w:pPr>
        <w:pStyle w:val="BodyText"/>
      </w:pPr>
      <w:r>
        <w:t xml:space="preserve">Например, если первичное положительное заключение по технической части проектной документации получено в мае 2024 года, даже при наличии последующих положительных заключений по корректировке технической части проектной документации (без сметы), сметная документация составляется в уровне цен 2 квартала 2024 года.</w:t>
      </w:r>
    </w:p>
    <w:p>
      <w:pPr>
        <w:pStyle w:val="BodyText"/>
      </w:pPr>
      <w:r>
        <w:rPr>
          <w:bCs/>
          <w:b/>
        </w:rPr>
        <w:t xml:space="preserve">3</w:t>
      </w:r>
    </w:p>
    <w:p>
      <w:pPr>
        <w:pStyle w:val="BodyText"/>
      </w:pPr>
      <w:r>
        <w:rPr>
          <w:bCs/>
          <w:b/>
        </w:rPr>
        <w:t xml:space="preserve">Вопрос:</w:t>
      </w:r>
      <w:r>
        <w:t xml:space="preserve"> </w:t>
      </w:r>
      <w:r>
        <w:t xml:space="preserve">В каком уровне цен необходимо составить сметную документацию для ее представления в Мосгосэкспертизу в случаях, когда не требуется получение положительного заключения государственной экспертизы по технической части проектной документации (например, при сносе, не связанном со строительством или реконструкцией объекта)?</w:t>
      </w:r>
    </w:p>
    <w:p>
      <w:pPr>
        <w:pStyle w:val="BodyText"/>
      </w:pPr>
      <w:r>
        <w:rPr>
          <w:bCs/>
          <w:b/>
        </w:rPr>
        <w:t xml:space="preserve">Ответ:</w:t>
      </w:r>
      <w:r>
        <w:t xml:space="preserve"> </w:t>
      </w:r>
      <w:r>
        <w:t xml:space="preserve">С учетом пункта 20(1) и подпункта «г» пункта 16(3) Положения об организации и проведении государственной экспертизы проектной документации и результатов инженерных изысканий, утвержденного постановлением Правительства РФ от 05.03.2007 № 145, в данном случае сметная документация составляется в уровне цен на дату ее представления застройщику, техническому заказчику (такая дата определяется по акту передачи документации).</w:t>
      </w:r>
    </w:p>
    <w:p>
      <w:pPr>
        <w:pStyle w:val="BodyText"/>
      </w:pPr>
      <w:r>
        <w:rPr>
          <w:bCs/>
          <w:b/>
        </w:rPr>
        <w:t xml:space="preserve">4</w:t>
      </w:r>
    </w:p>
    <w:p>
      <w:pPr>
        <w:pStyle w:val="BodyText"/>
      </w:pPr>
      <w:r>
        <w:rPr>
          <w:bCs/>
          <w:b/>
        </w:rPr>
        <w:t xml:space="preserve">Вопрос:</w:t>
      </w:r>
      <w:r>
        <w:t xml:space="preserve"> </w:t>
      </w:r>
      <w:r>
        <w:t xml:space="preserve">В каком уровне цен необходимо составить сметную документацию, подвергшуюся изменениям в результате изменения проектных решений, для ее отдельного рассмотрения Мосгосэкспертизой, если ранее было получено положительное заключение государственной экспертизы о достоверности определения сметной стоимости?</w:t>
      </w:r>
    </w:p>
    <w:p>
      <w:pPr>
        <w:pStyle w:val="BodyText"/>
      </w:pPr>
      <w:r>
        <w:rPr>
          <w:bCs/>
          <w:b/>
        </w:rPr>
        <w:t xml:space="preserve">Ответ:</w:t>
      </w:r>
      <w:r>
        <w:t xml:space="preserve"> </w:t>
      </w:r>
      <w:r>
        <w:t xml:space="preserve">С учетом пункта 1.1.1 постановления Правительства Москвы</w:t>
      </w:r>
      <w:r>
        <w:br/>
      </w:r>
      <w:r>
        <w:t xml:space="preserve">от 29.11.2019 № 1587-ПП «Об особенностях ценообразования и сметного нормирования» сметная документация должна быть составлена в уровне цен на период (периоды), соответствующий дате (датам) утверждения положительного заключения (положительных заключений) повторной государственной экспертизы по технической части проектной документации.</w:t>
      </w:r>
    </w:p>
    <w:p>
      <w:pPr>
        <w:pStyle w:val="BodyText"/>
      </w:pPr>
      <w:r>
        <w:t xml:space="preserve">Например, если положительные заключения по корректировке технической части получены в апреле и августе 2024 года, то откорректированная сметная документация составляется в трех уровнях цен: изначальном, принятом в положительном заключении государственной экспертизы о достоверности определения сметной стоимости, а также в уровнях цен 2 и 3 квартала 2024 года соответственно откорректированным объемам работ.</w:t>
      </w:r>
    </w:p>
    <w:p>
      <w:pPr>
        <w:pStyle w:val="BodyText"/>
      </w:pPr>
      <w:r>
        <w:rPr>
          <w:bCs/>
          <w:b/>
        </w:rPr>
        <w:t xml:space="preserve">5</w:t>
      </w:r>
    </w:p>
    <w:p>
      <w:pPr>
        <w:pStyle w:val="BodyText"/>
      </w:pPr>
      <w:r>
        <w:rPr>
          <w:bCs/>
          <w:b/>
        </w:rPr>
        <w:t xml:space="preserve">Вопрос:</w:t>
      </w:r>
      <w:r>
        <w:t xml:space="preserve"> </w:t>
      </w:r>
      <w:r>
        <w:t xml:space="preserve">Проектная документация получила первичное положительное заключение государственной экспертизы по технической части, а затем еще получила несколько положительных заключений государственной экспертизы при корректировке технической части проектной документации.</w:t>
      </w:r>
    </w:p>
    <w:p>
      <w:pPr>
        <w:pStyle w:val="BodyText"/>
      </w:pPr>
      <w:r>
        <w:t xml:space="preserve">Допускается ли составить сметную документацию для ее представления в Мосгосэкспертизу на основании объемов первичного положительного заключения, без учета рассмотренных корректировок?</w:t>
      </w:r>
    </w:p>
    <w:p>
      <w:pPr>
        <w:pStyle w:val="BodyText"/>
      </w:pPr>
      <w:r>
        <w:rPr>
          <w:bCs/>
          <w:b/>
        </w:rPr>
        <w:t xml:space="preserve">Ответ:</w:t>
      </w:r>
      <w:r>
        <w:t xml:space="preserve"> </w:t>
      </w:r>
      <w:r>
        <w:t xml:space="preserve">С учетом абзаца второго пункта 45(1) Положения об организации и проведении государственной экспертизы проектной документации и результатов инженерных изысканий, утвержденного постановлением Правительства РФ от 05.03.2007 № 145, сметная документация должна быть составлена с учетом всех рассмотренных корректировок для ее проверки в полном объеме.</w:t>
      </w:r>
    </w:p>
    <w:p>
      <w:pPr>
        <w:pStyle w:val="BodyText"/>
      </w:pPr>
      <w:r>
        <w:rPr>
          <w:bCs/>
          <w:b/>
        </w:rPr>
        <w:t xml:space="preserve">6</w:t>
      </w:r>
    </w:p>
    <w:p>
      <w:pPr>
        <w:pStyle w:val="BodyText"/>
      </w:pPr>
      <w:r>
        <w:rPr>
          <w:bCs/>
          <w:b/>
        </w:rPr>
        <w:t xml:space="preserve">Вопрос:</w:t>
      </w:r>
      <w:r>
        <w:t xml:space="preserve"> </w:t>
      </w:r>
      <w:r>
        <w:t xml:space="preserve">Допускается ли определить в задании на проектирование текущий уровень цен, отличный от предусмотренного согласно нормативным правовым актам Российской Федерации и города Москвы?</w:t>
      </w:r>
    </w:p>
    <w:p>
      <w:pPr>
        <w:pStyle w:val="BodyText"/>
      </w:pPr>
      <w:r>
        <w:rPr>
          <w:bCs/>
          <w:b/>
        </w:rPr>
        <w:t xml:space="preserve">Ответ:</w:t>
      </w:r>
      <w:r>
        <w:t xml:space="preserve"> </w:t>
      </w:r>
      <w:r>
        <w:t xml:space="preserve">В задании на проектирование не допускается отступать</w:t>
      </w:r>
      <w:r>
        <w:br/>
      </w:r>
      <w:r>
        <w:t xml:space="preserve">от требований нормативных правовых актов Российской Федерации и (или) города Москвы, в том числе при определении текущего уровня цен. Определение в задании на проектирование уровня цен по выбору заказчика допускается только в случаях, прямо предусмотренных нормативными правовыми актами Российской Федерации и (или) города Москвы (например, распоряжение Правительства Москвы от 20.08.2024 № 638-РП).</w:t>
      </w:r>
    </w:p>
    <w:p>
      <w:pPr>
        <w:pStyle w:val="BodyText"/>
      </w:pPr>
      <w:r>
        <w:rPr>
          <w:bCs/>
          <w:b/>
        </w:rPr>
        <w:t xml:space="preserve">7</w:t>
      </w:r>
    </w:p>
    <w:p>
      <w:pPr>
        <w:pStyle w:val="BodyText"/>
      </w:pPr>
      <w:r>
        <w:rPr>
          <w:bCs/>
          <w:b/>
        </w:rPr>
        <w:t xml:space="preserve">Вопрос:</w:t>
      </w:r>
      <w:r>
        <w:t xml:space="preserve"> </w:t>
      </w:r>
      <w:r>
        <w:t xml:space="preserve">Какую редакцию базы ТСН-2001 применять при составлении</w:t>
      </w:r>
      <w:r>
        <w:br/>
      </w:r>
      <w:r>
        <w:t xml:space="preserve">и корректировке сметной документации для ее представления</w:t>
      </w:r>
      <w:r>
        <w:br/>
      </w:r>
      <w:r>
        <w:t xml:space="preserve">в Мосгосэкспертизу?</w:t>
      </w:r>
    </w:p>
    <w:p>
      <w:pPr>
        <w:pStyle w:val="BodyText"/>
      </w:pPr>
      <w:r>
        <w:rPr>
          <w:bCs/>
          <w:b/>
        </w:rPr>
        <w:t xml:space="preserve">Ответ:</w:t>
      </w:r>
      <w:r>
        <w:t xml:space="preserve"> </w:t>
      </w:r>
      <w:r>
        <w:t xml:space="preserve">В соответствии с пунктом 3.1.13 Общих указаний по применению</w:t>
      </w:r>
      <w:r>
        <w:br/>
      </w:r>
      <w:r>
        <w:t xml:space="preserve">ТСН-2001 (ТСН-2001.12) предусмотрено, что сметная документация для проведения проверки достоверности определения сметной стоимости составляется с учетом редакции сборника дополнений к территориальной сметно-нормативной базе для города Москвы ТСН-2001, действующей на дату ее представления для проведения проверки.</w:t>
      </w:r>
    </w:p>
    <w:p>
      <w:pPr>
        <w:pStyle w:val="BodyText"/>
      </w:pPr>
      <w:r>
        <w:t xml:space="preserve">В соответствии с пунктом 3.7.5 Общих указаний по применению</w:t>
      </w:r>
      <w:r>
        <w:br/>
      </w:r>
      <w:r>
        <w:t xml:space="preserve">ТСН-2001 (ТСН-2001.12) предусмотрено, что изменения в сметную документацию для проведения проверки достоверности определения сметной стоимости вносятся с учетом редакции сборника дополнений к территориальной сметно-нормативной базе для города Москвы ТСН-2001, действующей на дату представления для проведения проверки таких изменений.</w:t>
      </w:r>
    </w:p>
    <w:p>
      <w:pPr>
        <w:pStyle w:val="BodyText"/>
      </w:pPr>
      <w:r>
        <w:rPr>
          <w:bCs/>
          <w:b/>
        </w:rPr>
        <w:t xml:space="preserve">8</w:t>
      </w:r>
    </w:p>
    <w:p>
      <w:pPr>
        <w:pStyle w:val="BodyText"/>
      </w:pPr>
      <w:r>
        <w:rPr>
          <w:bCs/>
          <w:b/>
        </w:rPr>
        <w:t xml:space="preserve">Вопрос:</w:t>
      </w:r>
      <w:r>
        <w:t xml:space="preserve"> </w:t>
      </w:r>
      <w:r>
        <w:t xml:space="preserve">В связи с изменениями в правовых актах – при каких условиях</w:t>
      </w:r>
      <w:r>
        <w:br/>
      </w:r>
      <w:r>
        <w:t xml:space="preserve">в сметной стоимости возможен учет затрат на выполнение работ вахтовым методом и перебазирование строительно-монтажных организаций на территорию города Москвы с объекта строительства, находящегося на территории другого субъекта Российской Федерации?</w:t>
      </w:r>
    </w:p>
    <w:p>
      <w:pPr>
        <w:pStyle w:val="BodyText"/>
      </w:pPr>
      <w:r>
        <w:rPr>
          <w:bCs/>
          <w:b/>
        </w:rPr>
        <w:t xml:space="preserve">Ответ:</w:t>
      </w:r>
      <w:r>
        <w:t xml:space="preserve"> </w:t>
      </w:r>
      <w:r>
        <w:t xml:space="preserve">Для учета таких затрат обязательно должны одновременно выполняться два условия:</w:t>
      </w:r>
    </w:p>
    <w:p>
      <w:pPr>
        <w:pStyle w:val="BodyText"/>
      </w:pPr>
      <w:r>
        <w:t xml:space="preserve">- наличие первичного положительного заключения государственной экспертизы проектной документации (об оценке соответствия технической части / об оценке соответствия технической части и о достоверности определения сметной стоимости / о достоверности определения сметной стоимости (если оценка соответствия технической части не предусмотрена), выданного до 4 июня 2024 года;</w:t>
      </w:r>
    </w:p>
    <w:p>
      <w:pPr>
        <w:pStyle w:val="BodyText"/>
      </w:pPr>
      <w:r>
        <w:t xml:space="preserve">- определение сметной стоимости строительства в уровне цен не позднее марта 2024 года (уровень цен на период рассмотрения технической части проектной документации или уровень цен марта 2024 года в соответствии с заданием на проектирование).</w:t>
      </w:r>
    </w:p>
    <w:p>
      <w:pPr>
        <w:pStyle w:val="BodyText"/>
      </w:pPr>
      <w:r>
        <w:rPr>
          <w:bCs/>
          <w:b/>
        </w:rPr>
        <w:t xml:space="preserve">9</w:t>
      </w:r>
    </w:p>
    <w:p>
      <w:pPr>
        <w:pStyle w:val="BodyText"/>
      </w:pPr>
      <w:r>
        <w:rPr>
          <w:bCs/>
          <w:b/>
        </w:rPr>
        <w:t xml:space="preserve">Вопрос:</w:t>
      </w:r>
      <w:r>
        <w:t xml:space="preserve"> </w:t>
      </w:r>
      <w:r>
        <w:t xml:space="preserve">В отношении проектной документации в мае 2024 года получено положительное заключение государственной экспертизы только в части оценки соответствия. При каких условиях возможен учет затрат на выполнение работ вахтовым методом и перебазирование строительно-монтажных организаций в сметной стоимости строительства?</w:t>
      </w:r>
    </w:p>
    <w:p>
      <w:pPr>
        <w:pStyle w:val="BodyText"/>
      </w:pPr>
      <w:r>
        <w:rPr>
          <w:bCs/>
          <w:b/>
        </w:rPr>
        <w:t xml:space="preserve">Ответ:</w:t>
      </w:r>
      <w:r>
        <w:t xml:space="preserve"> </w:t>
      </w:r>
      <w:r>
        <w:t xml:space="preserve">В данном случае учет соответствующих затрат возможен при определении сметной стоимости в целом в уровне цен марта 2024 года. Указание об определении сметной стоимости в таком уровне цен должно быть включено в задание на проектирование на основании распоряжения Правительства Москвы от 20 августа 2024 г. № 638-РП.</w:t>
      </w:r>
    </w:p>
    <w:p>
      <w:pPr>
        <w:pStyle w:val="BodyText"/>
      </w:pPr>
      <w:r>
        <w:rPr>
          <w:bCs/>
          <w:b/>
        </w:rPr>
        <w:t xml:space="preserve">10</w:t>
      </w:r>
    </w:p>
    <w:p>
      <w:pPr>
        <w:pStyle w:val="BodyText"/>
      </w:pPr>
      <w:r>
        <w:rPr>
          <w:bCs/>
          <w:b/>
        </w:rPr>
        <w:t xml:space="preserve">Вопрос:</w:t>
      </w:r>
      <w:r>
        <w:t xml:space="preserve"> </w:t>
      </w:r>
      <w:r>
        <w:t xml:space="preserve">В отношении проектной документации в апреле 2023 года получено положительное заключение государственной экспертизы в части оценки соответствия, в ноябре 2023 года получено положительное заключение государственной экспертизы в части оценки соответствия (корректировка). Сметная стоимость заключением государственной экспертизы ранее не подтверждалась.</w:t>
      </w:r>
    </w:p>
    <w:p>
      <w:pPr>
        <w:pStyle w:val="BodyText"/>
      </w:pPr>
      <w:r>
        <w:t xml:space="preserve">Возможно ли в данном случае учесть затраты на выполнение работ вахтовым методом и перебазирование строительно-монтажных организаций?</w:t>
      </w:r>
    </w:p>
    <w:p>
      <w:pPr>
        <w:pStyle w:val="BodyText"/>
      </w:pPr>
      <w:r>
        <w:rPr>
          <w:bCs/>
          <w:b/>
        </w:rPr>
        <w:t xml:space="preserve">Ответ:</w:t>
      </w:r>
      <w:r>
        <w:t xml:space="preserve"> </w:t>
      </w:r>
      <w:r>
        <w:t xml:space="preserve">При определении сметной стоимости строительства в уровне цен апреля 2023 года с учетом постановления Правительства Москвы</w:t>
      </w:r>
      <w:r>
        <w:br/>
      </w:r>
      <w:r>
        <w:t xml:space="preserve">от 23 мая 2024 г. № 1098-ПП учет соответствующих затрат возможен.</w:t>
      </w:r>
    </w:p>
    <w:p>
      <w:pPr>
        <w:pStyle w:val="BodyText"/>
      </w:pPr>
      <w:r>
        <w:rPr>
          <w:bCs/>
          <w:b/>
        </w:rPr>
        <w:t xml:space="preserve">11</w:t>
      </w:r>
    </w:p>
    <w:p>
      <w:pPr>
        <w:pStyle w:val="BodyText"/>
      </w:pPr>
      <w:r>
        <w:rPr>
          <w:bCs/>
          <w:b/>
        </w:rPr>
        <w:t xml:space="preserve">Вопрос:</w:t>
      </w:r>
      <w:r>
        <w:t xml:space="preserve"> </w:t>
      </w:r>
      <w:r>
        <w:t xml:space="preserve">Первичное заключение государственной экспертизы по проектно-сметной документации получено в уровне цен февраля 2023 года, при внесении изменений в проектно-сметную документацию применен уровень цен августа 2024 года. Возможно ли учесть затраты на выполнение работ вахтовым методом и перебазирование строительно-монтажных организаций?</w:t>
      </w:r>
    </w:p>
    <w:p>
      <w:pPr>
        <w:pStyle w:val="BodyText"/>
      </w:pPr>
      <w:r>
        <w:rPr>
          <w:bCs/>
          <w:b/>
        </w:rPr>
        <w:t xml:space="preserve">Ответ:</w:t>
      </w:r>
      <w:r>
        <w:t xml:space="preserve"> </w:t>
      </w:r>
      <w:r>
        <w:t xml:space="preserve">При определении сметной стоимости (части сметной стоимости) строительства в уровне цен позднее марта 2024 года соответствующие затраты подлежат исключению из сводного сметного расчета стоимости строительства в полном объеме.</w:t>
      </w:r>
    </w:p>
    <w:p>
      <w:pPr>
        <w:pStyle w:val="BodyText"/>
      </w:pPr>
      <w:r>
        <w:rPr>
          <w:bCs/>
          <w:b/>
        </w:rPr>
        <w:t xml:space="preserve">12</w:t>
      </w:r>
    </w:p>
    <w:p>
      <w:pPr>
        <w:pStyle w:val="BodyText"/>
      </w:pPr>
      <w:r>
        <w:rPr>
          <w:bCs/>
          <w:b/>
        </w:rPr>
        <w:t xml:space="preserve">Вопрос:</w:t>
      </w:r>
      <w:r>
        <w:t xml:space="preserve"> </w:t>
      </w:r>
      <w:r>
        <w:t xml:space="preserve">Подлежат ли учету в сметной стоимости затраты на выполнение работ вахтовым методом и перебазирование строительно-монтажных организаций, если проектная документация получила первичное положительное заключение государственной экспертизы позднее 4 июня 2024 г.?</w:t>
      </w:r>
    </w:p>
    <w:p>
      <w:pPr>
        <w:pStyle w:val="BodyText"/>
      </w:pPr>
      <w:r>
        <w:rPr>
          <w:bCs/>
          <w:b/>
        </w:rPr>
        <w:t xml:space="preserve">Ответ:</w:t>
      </w:r>
      <w:r>
        <w:t xml:space="preserve"> </w:t>
      </w:r>
      <w:r>
        <w:t xml:space="preserve">Нет, такие затраты в данном случае не подлежат учету в сметной стоимости строительства. Также такие затраты не подлежат учету в сметной стоимости при наличии исключительно отрицательного заключения (отрицательных заключений) государственной экспертизы, выданного (выданных) до 4 июня 2024 года.</w:t>
      </w:r>
    </w:p>
    <w:p>
      <w:pPr>
        <w:pStyle w:val="BodyText"/>
      </w:pPr>
      <w:r>
        <w:rPr>
          <w:bCs/>
          <w:b/>
        </w:rPr>
        <w:t xml:space="preserve">13</w:t>
      </w:r>
    </w:p>
    <w:p>
      <w:pPr>
        <w:pStyle w:val="BodyText"/>
      </w:pPr>
      <w:r>
        <w:rPr>
          <w:bCs/>
          <w:b/>
        </w:rPr>
        <w:t xml:space="preserve">Вопрос:</w:t>
      </w:r>
      <w:r>
        <w:t xml:space="preserve"> </w:t>
      </w:r>
      <w:r>
        <w:t xml:space="preserve">Распоряжением Правительства Москвы от 20 августа 2024 г.</w:t>
      </w:r>
      <w:r>
        <w:br/>
      </w:r>
      <w:r>
        <w:t xml:space="preserve">№ 638-РП «О внесении изменения в распоряжение Правительства Москвы от 4 июня 2024 г. № 405-РП» предусмотрено, что в проектной документации, получившей положительное заключение государственной экспертизы до 4 июня 2024 г., коэффициенты (индексы) пересчета сметной стоимости строительства в текущий уровень цен принимаются в установленном порядке на период, соответствующий дате утверждения положительного заключения (периоды, соответствующие датам утверждения положительных заключений) государственной экспертизы проектной документации или на период марта 2024 года, определенный в задании на проектирование. Что имеется в виду под «установленным порядком применения коэффициентов (индексов) пересчета сметной стоимости строительства в текущий уровень цен»?</w:t>
      </w:r>
    </w:p>
    <w:p>
      <w:pPr>
        <w:pStyle w:val="BodyText"/>
      </w:pPr>
      <w:r>
        <w:rPr>
          <w:bCs/>
          <w:b/>
        </w:rPr>
        <w:t xml:space="preserve">Ответ:</w:t>
      </w:r>
      <w:r>
        <w:t xml:space="preserve"> </w:t>
      </w:r>
      <w:r>
        <w:t xml:space="preserve">В данном случае под установленным порядком понимаются правила определения применимых коэффициентов (индексов) пересчета сметной стоимости строительства в текущий уровень цен в соответствии с постановлением Правительства Москвы от 29 ноября 2019 г. № 1587-ПП «Об особенностях ценообразования и сметного нормирования».</w:t>
      </w:r>
    </w:p>
    <w:p>
      <w:pPr>
        <w:pStyle w:val="BodyText"/>
      </w:pPr>
      <w:r>
        <w:rPr>
          <w:bCs/>
          <w:b/>
        </w:rPr>
        <w:t xml:space="preserve">14</w:t>
      </w:r>
    </w:p>
    <w:p>
      <w:pPr>
        <w:pStyle w:val="BodyText"/>
      </w:pPr>
      <w:r>
        <w:rPr>
          <w:bCs/>
          <w:b/>
        </w:rPr>
        <w:t xml:space="preserve">Вопрос:</w:t>
      </w:r>
      <w:r>
        <w:t xml:space="preserve"> </w:t>
      </w:r>
      <w:r>
        <w:t xml:space="preserve">Распоряжением Правительства Москвы от 4 июня 2024 г.</w:t>
      </w:r>
      <w:r>
        <w:br/>
      </w:r>
      <w:r>
        <w:t xml:space="preserve">№ 405-РП регламентируется учет затрат на выполнение работ вахтовым методом и перебазирование строительно-монтажных организаций на территорию города Москвы с объекта строительства, находящегося на территории другого субъекта Российской Федерации. Учет таких затрат при выполнении работ по реконструкции возможен или нет?</w:t>
      </w:r>
    </w:p>
    <w:p>
      <w:pPr>
        <w:pStyle w:val="BodyText"/>
      </w:pPr>
      <w:r>
        <w:rPr>
          <w:bCs/>
          <w:b/>
        </w:rPr>
        <w:t xml:space="preserve">Ответ:</w:t>
      </w:r>
      <w:r>
        <w:t xml:space="preserve"> </w:t>
      </w:r>
      <w:r>
        <w:t xml:space="preserve">Указанные правила являются универсальными для всех видов работ, сметная стоимость которых определяется с применением сборников территориальных сметных нормативов для города Москвы (ТСН-2001).</w:t>
      </w:r>
    </w:p>
    <w:p>
      <w:pPr>
        <w:pStyle w:val="BodyText"/>
      </w:pPr>
      <w:r>
        <w:rPr>
          <w:bCs/>
          <w:b/>
        </w:rPr>
        <w:t xml:space="preserve">15</w:t>
      </w:r>
    </w:p>
    <w:p>
      <w:pPr>
        <w:pStyle w:val="BodyText"/>
      </w:pPr>
      <w:r>
        <w:rPr>
          <w:bCs/>
          <w:b/>
        </w:rPr>
        <w:t xml:space="preserve">Вопрос:</w:t>
      </w:r>
      <w:r>
        <w:t xml:space="preserve"> </w:t>
      </w:r>
      <w:r>
        <w:t xml:space="preserve">Как определяется уровень цен при проведении государственной экспертизы проектной документации после оказания консультационных услуг по рассмотрению проектной документации?</w:t>
      </w:r>
    </w:p>
    <w:p>
      <w:pPr>
        <w:pStyle w:val="BodyText"/>
      </w:pPr>
      <w:r>
        <w:rPr>
          <w:bCs/>
          <w:b/>
        </w:rPr>
        <w:t xml:space="preserve">Ответ:</w:t>
      </w:r>
      <w:r>
        <w:t xml:space="preserve"> </w:t>
      </w:r>
      <w:r>
        <w:t xml:space="preserve">Уровень цен определяется в соответствии с нормативными требованиями, установленными для проведения государственной экспертизы. Автоматическое сохранение уровня цен, предусмотренного в заключении по результатам оказания консультационных услуг, не предусмотрено.</w:t>
      </w:r>
    </w:p>
    <w:p>
      <w:pPr>
        <w:pStyle w:val="BodyText"/>
      </w:pPr>
      <w:r>
        <w:br/>
      </w:r>
    </w:p>
    <w:p>
      <w:pPr>
        <w:pStyle w:val="BodyText"/>
      </w:pPr>
      <w:r>
        <w:t xml:space="preserve">Адрес страницы:</w:t>
      </w:r>
      <w:r>
        <w:t xml:space="preserve"> </w:t>
      </w:r>
      <w:hyperlink r:id="rId20">
        <w:r>
          <w:rPr>
            <w:rStyle w:val="Hyperlink"/>
          </w:rPr>
          <w:t xml:space="preserve">http://exp.mos.ru/presscenter/informatsiya-dlya-zayaviteley/detail/12540865.html</w:t>
        </w:r>
      </w:hyperlink>
    </w:p>
    <w:p>
      <w:pPr>
        <w:pStyle w:val="BodyText"/>
      </w:pPr>
      <w:hyperlink r:id="rId21">
        <w:r>
          <w:rPr>
            <w:rStyle w:val="Hyperlink"/>
          </w:rPr>
          <w:t xml:space="preserve">ГАУ города Москвы «Московская государственная экспертиза»</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exp.mos.ru" TargetMode="External" /><Relationship Type="http://schemas.openxmlformats.org/officeDocument/2006/relationships/hyperlink" Id="rId20" Target="http://exp.mos.ru/presscenter/informatsiya-dlya-zayaviteley/detail/12540865.html" TargetMode="External" /></Relationships>
</file>

<file path=word/_rels/footnotes.xml.rels><?xml version="1.0" encoding="UTF-8"?><Relationships xmlns="http://schemas.openxmlformats.org/package/2006/relationships"><Relationship Type="http://schemas.openxmlformats.org/officeDocument/2006/relationships/hyperlink" Id="rId21" Target="http://exp.mos.ru" TargetMode="External" /><Relationship Type="http://schemas.openxmlformats.org/officeDocument/2006/relationships/hyperlink" Id="rId20" Target="http://exp.mos.ru/presscenter/informatsiya-dlya-zayaviteley/detail/1254086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2025-08-05T15:12:30Z</dcterms:created>
  <dcterms:modified xsi:type="dcterms:W3CDTF">2025-08-05T15:12:30Z</dcterms:modified>
</cp:coreProperties>
</file>

<file path=docProps/custom.xml><?xml version="1.0" encoding="utf-8"?>
<Properties xmlns="http://schemas.openxmlformats.org/officeDocument/2006/custom-properties" xmlns:vt="http://schemas.openxmlformats.org/officeDocument/2006/docPropsVTypes"/>
</file>