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16a1433cb2ea995487cd1ac70d41dae77d7ca"/>
    <w:p>
      <w:pPr>
        <w:pStyle w:val="Heading3"/>
      </w:pPr>
      <w:r>
        <w:t xml:space="preserve">«Госэкспертиза проектов: совершенствовать, а не разрушать»</w:t>
      </w:r>
    </w:p>
    <w:p>
      <w:pPr>
        <w:pStyle w:val="FirstParagraph"/>
      </w:pPr>
      <w:r>
        <w:t xml:space="preserve">01.04.2011</w:t>
      </w:r>
    </w:p>
    <w:p>
      <w:pPr>
        <w:pStyle w:val="BodyText"/>
      </w:pPr>
      <w:r>
        <w:rPr>
          <w:bCs/>
          <w:b/>
        </w:rPr>
        <w:t xml:space="preserve">Статья-интервью:</w:t>
      </w:r>
      <w:r>
        <w:t xml:space="preserve"> </w:t>
      </w:r>
      <w:r>
        <w:t xml:space="preserve">«Госэкспертиза проектов: совершенствовать, а не разрушать»</w:t>
      </w:r>
      <w:r>
        <w:t xml:space="preserve"> 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«Строительная газета», №13(10128), от 1 апреля 2011 г.</w:t>
      </w:r>
      <w:r>
        <w:t xml:space="preserve"> </w:t>
      </w:r>
      <w:r>
        <w:br/>
      </w:r>
      <w:r>
        <w:rPr>
          <w:bCs/>
          <w:b/>
        </w:rPr>
        <w:t xml:space="preserve">Авторы:</w:t>
      </w:r>
      <w:r>
        <w:t xml:space="preserve"> </w:t>
      </w:r>
      <w:r>
        <w:t xml:space="preserve">Геннадий Воронцов, генеральный директор ОАО "ВНИИНТПИ", профессор, заслуженный строитель Российской Федерации.</w:t>
      </w:r>
      <w:r>
        <w:br/>
      </w:r>
      <w:hyperlink r:id="rId20">
        <w:r>
          <w:rPr>
            <w:rStyle w:val="Hyperlink"/>
            <w:bCs/>
            <w:b/>
          </w:rPr>
          <w:t xml:space="preserve">прочитать статью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http://exp.mos.ru/presscenter/article/detail/821146.html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article/article-003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article/article-003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2024-06-01T03:58:35Z</dcterms:created>
  <dcterms:modified xsi:type="dcterms:W3CDTF">2024-06-01T03:58:35Z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