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e82747b252929cfcbc10d59f5ae5ead730eae1d"/>
    <w:p>
      <w:pPr>
        <w:pStyle w:val="Heading3"/>
      </w:pPr>
      <w:r>
        <w:t xml:space="preserve">«Московские торги»: Индивидуальный подход к электронным услугам</w:t>
      </w:r>
    </w:p>
    <w:p>
      <w:pPr>
        <w:pStyle w:val="FirstParagraph"/>
      </w:pPr>
      <w:r>
        <w:t xml:space="preserve">03.03.2017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http://exp.mos.ru/presscenter/article/detail/5123048.html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ГАУ города Москвы «Московская государственная экспертиза»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exp.mos.ru" TargetMode="External" /><Relationship Type="http://schemas.openxmlformats.org/officeDocument/2006/relationships/hyperlink" Id="rId20" Target="http://exp.mos.ru/presscenter/article/detail/5123048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exp.mos.ru" TargetMode="External" /><Relationship Type="http://schemas.openxmlformats.org/officeDocument/2006/relationships/hyperlink" Id="rId20" Target="http://exp.mos.ru/presscenter/article/detail/5123048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2025-07-18T15:00:07Z</dcterms:created>
  <dcterms:modified xsi:type="dcterms:W3CDTF">2025-07-18T15:00:07Z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