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be271b0c2caa0d933092192b28be8b53b3f6dc"/>
    <w:p>
      <w:pPr>
        <w:pStyle w:val="Heading3"/>
      </w:pPr>
      <w:r>
        <w:t xml:space="preserve">Интервью председателя Москомэкспертизы Валерия Леонова приложению Business Guide газеты "Коммерсантъ"</w:t>
      </w:r>
    </w:p>
    <w:p>
      <w:pPr>
        <w:pStyle w:val="FirstParagraph"/>
      </w:pPr>
      <w:r>
        <w:t xml:space="preserve">30.06.2016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http://exp.mos.ru/presscenter/article/detail/3248551.html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ГАУ города Москвы «Московская государственная экспертиза»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exp.mos.ru" TargetMode="External" /><Relationship Type="http://schemas.openxmlformats.org/officeDocument/2006/relationships/hyperlink" Id="rId20" Target="http://exp.mos.ru/presscenter/article/detail/32485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exp.mos.ru" TargetMode="External" /><Relationship Type="http://schemas.openxmlformats.org/officeDocument/2006/relationships/hyperlink" Id="rId20" Target="http://exp.mos.ru/presscenter/article/detail/32485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2023-09-26T09:14:52Z</dcterms:created>
  <dcterms:modified xsi:type="dcterms:W3CDTF">2023-09-26T09:14:52Z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