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5cca769d839afd572f41eb4064f18c24bcae7a"/>
    <w:p>
      <w:pPr>
        <w:pStyle w:val="Heading3"/>
      </w:pPr>
      <w:r>
        <w:t xml:space="preserve">Интервью Анны Яковлевой «Строительной газете»</w:t>
      </w:r>
    </w:p>
    <w:p>
      <w:pPr>
        <w:pStyle w:val="FirstParagraph"/>
      </w:pPr>
      <w:r>
        <w:t xml:space="preserve">11.08.2023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Более подробная информация по ссылке:</w:t>
      </w:r>
    </w:p>
    <w:p>
      <w:pPr>
        <w:pStyle w:val="BodyText"/>
      </w:pPr>
      <w:hyperlink r:id="rId20">
        <w:r>
          <w:rPr>
            <w:rStyle w:val="Hyperlink"/>
          </w:rPr>
          <w:t xml:space="preserve">https://stroygaz.ru/publication/regulation/20-let-na-blago-stolitsy-tseli-moskomekspertizy-s-godami-neizmenny-obespechenie-bezopasnosti-i-kache/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http://exp.mos.ru/presscenter/article/detail/11769953.html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ГАУ города Москвы «Московская государственная экспертиза»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exp.mos.ru" TargetMode="External" /><Relationship Type="http://schemas.openxmlformats.org/officeDocument/2006/relationships/hyperlink" Id="rId21" Target="http://exp.mos.ru/presscenter/article/detail/11769953.html" TargetMode="External" /><Relationship Type="http://schemas.openxmlformats.org/officeDocument/2006/relationships/hyperlink" Id="rId20" Target="https://stroygaz.ru/publication/regulation/20-let-na-blago-stolitsy-tseli-moskomekspertizy-s-godami-neizmenny-obespechenie-bezopasnosti-i-kach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exp.mos.ru" TargetMode="External" /><Relationship Type="http://schemas.openxmlformats.org/officeDocument/2006/relationships/hyperlink" Id="rId21" Target="http://exp.mos.ru/presscenter/article/detail/11769953.html" TargetMode="External" /><Relationship Type="http://schemas.openxmlformats.org/officeDocument/2006/relationships/hyperlink" Id="rId20" Target="https://stroygaz.ru/publication/regulation/20-let-na-blago-stolitsy-tseli-moskomekspertizy-s-godami-neizmenny-obespechenie-bezopasnosti-i-kach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2025-07-11T11:47:28Z</dcterms:created>
  <dcterms:modified xsi:type="dcterms:W3CDTF">2025-07-11T11:47:28Z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