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d6a14c4a85bcec1c45fcf8c211e6d5a9185aba"/>
    <w:p>
      <w:pPr>
        <w:pStyle w:val="Heading3"/>
      </w:pPr>
      <w:r>
        <w:t xml:space="preserve">Все реновационные объекты проходят тщательную проверку</w:t>
      </w:r>
    </w:p>
    <w:p>
      <w:pPr>
        <w:pStyle w:val="FirstParagraph"/>
      </w:pPr>
      <w:r>
        <w:t xml:space="preserve">29.05.2023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подробная информация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https://stroygaz.ru/publication/regulation/soglasovano-vse-renovatsionnye-obekty-prokhodyat-tshchatelnuyu-proverku/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http://exp.mos.ru/presscenter/article/detail/11615239.html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1615239.html" TargetMode="External" /><Relationship Type="http://schemas.openxmlformats.org/officeDocument/2006/relationships/hyperlink" Id="rId20" Target="https://stroygaz.ru/publication/regulation/soglasovano-vse-renovatsionnye-obekty-prokhodyat-tshchatelnuyu-proverk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1615239.html" TargetMode="External" /><Relationship Type="http://schemas.openxmlformats.org/officeDocument/2006/relationships/hyperlink" Id="rId20" Target="https://stroygaz.ru/publication/regulation/soglasovano-vse-renovatsionnye-obekty-prokhodyat-tshchatelnuyu-proverk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2025-08-03T22:24:51Z</dcterms:created>
  <dcterms:modified xsi:type="dcterms:W3CDTF">2025-08-03T22:24:51Z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