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2b482851c66d2e4c8f65afb3f5533356674c51"/>
    <w:p>
      <w:pPr>
        <w:pStyle w:val="Heading3"/>
      </w:pPr>
      <w:r>
        <w:t xml:space="preserve">Интервью А.И. Яковлевой журналу «Всё о мире строительства»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 подробная информация – по ссылке: </w:t>
      </w:r>
      <w:hyperlink r:id="rId20">
        <w:r>
          <w:rPr>
            <w:rStyle w:val="Hyperlink"/>
          </w:rPr>
          <w:t xml:space="preserve">https://voms.ru/articles/anna-yakovleva-bkl-mozhno-po-pravu-nazvat-megaproektom-poslednego-desyatiletiya/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http://exp.mos.ru/presscenter/article/detail/11456436.html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456436.html" TargetMode="External" /><Relationship Type="http://schemas.openxmlformats.org/officeDocument/2006/relationships/hyperlink" Id="rId20" Target="https://voms.ru/articles/anna-yakovleva-bkl-mozhno-po-pravu-nazvat-megaproektom-poslednego-desyatileti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456436.html" TargetMode="External" /><Relationship Type="http://schemas.openxmlformats.org/officeDocument/2006/relationships/hyperlink" Id="rId20" Target="https://voms.ru/articles/anna-yakovleva-bkl-mozhno-po-pravu-nazvat-megaproektom-poslednego-desyatileti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2025-08-03T19:09:04Z</dcterms:created>
  <dcterms:modified xsi:type="dcterms:W3CDTF">2025-08-03T19:09:04Z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