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один-клик"/>
    <w:p>
      <w:pPr>
        <w:pStyle w:val="Heading3"/>
      </w:pPr>
      <w:r>
        <w:t xml:space="preserve">В один клик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https://www.kommersant.ru/doc/5028873?query=%D0%B2%D0%B0%D0%BB%D0%B5%D1%80%D0%B8%D0%B9%20%D0%BB%D0%B5%D0%BE%D0%BD%D0%BE%D0%B2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http://exp.mos.ru/presscenter/article/detail/10346273.html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346273.html" TargetMode="External" /><Relationship Type="http://schemas.openxmlformats.org/officeDocument/2006/relationships/hyperlink" Id="rId20" Target="https://www.kommersant.ru/doc/5028873?query=%D0%B2%D0%B0%D0%BB%D0%B5%D1%80%D0%B8%D0%B9%20%D0%BB%D0%B5%D0%BE%D0%BD%D0%BE%D0%B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346273.html" TargetMode="External" /><Relationship Type="http://schemas.openxmlformats.org/officeDocument/2006/relationships/hyperlink" Id="rId20" Target="https://www.kommersant.ru/doc/5028873?query=%D0%B2%D0%B0%D0%BB%D0%B5%D1%80%D0%B8%D0%B9%20%D0%BB%D0%B5%D0%BE%D0%BD%D0%BE%D0%B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2025-06-14T09:31:40Z</dcterms:created>
  <dcterms:modified xsi:type="dcterms:W3CDTF">2025-06-14T09:31:40Z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