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7ac0b75f60250fbfd1a96f1f77960b9e217db"/>
    <w:p>
      <w:pPr>
        <w:pStyle w:val="Heading3"/>
      </w:pPr>
      <w:r>
        <w:t xml:space="preserve">Анна Яковлева: «Школы столицы вышли за рамки общеобразовательных учреждений»</w:t>
      </w:r>
    </w:p>
    <w:p>
      <w:pPr>
        <w:pStyle w:val="FirstParagraph"/>
      </w:pPr>
      <w:r>
        <w:t xml:space="preserve">28.09.2021</w:t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https://vm.ru/society/910270-anna-yakovleva-shkoly-stolicy-vyshli-za-ramki-obsheobrazovatelnyh-uchrezhdenij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http://exp.mos.ru/presscenter/article/detail/10282323.html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282323.html" TargetMode="External" /><Relationship Type="http://schemas.openxmlformats.org/officeDocument/2006/relationships/hyperlink" Id="rId20" Target="https://vm.ru/society/910270-anna-yakovleva-shkoly-stolicy-vyshli-za-ramki-obsheobrazovatelnyh-uchrezhdeni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282323.html" TargetMode="External" /><Relationship Type="http://schemas.openxmlformats.org/officeDocument/2006/relationships/hyperlink" Id="rId20" Target="https://vm.ru/society/910270-anna-yakovleva-shkoly-stolicy-vyshli-za-ramki-obsheobrazovatelnyh-uchrezhdeni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2025-06-14T09:34:33Z</dcterms:created>
  <dcterms:modified xsi:type="dcterms:W3CDTF">2025-06-14T09:34:33Z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