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18223f4427cc98c1d9272ada6786427025700"/>
    <w:p>
      <w:pPr>
        <w:pStyle w:val="Heading3"/>
      </w:pPr>
      <w:r>
        <w:t xml:space="preserve">Анна Яковлева: «Наши эксперты всегда тщательно подходят к работе, вне зависимости от проекта»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https://mperspektiva.ru/topics/nashi-eksperty-vsegda-tshchatelno-podkhodyat-k-rabote-vne-zavisimosti-ot-proekta/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http://exp.mos.ru/presscenter/article/detail/10282314.html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314.html" TargetMode="External" /><Relationship Type="http://schemas.openxmlformats.org/officeDocument/2006/relationships/hyperlink" Id="rId20" Target="https://mperspektiva.ru/topics/nashi-eksperty-vsegda-tshchatelno-podkhodyat-k-rabote-vne-zavisimosti-ot-proek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314.html" TargetMode="External" /><Relationship Type="http://schemas.openxmlformats.org/officeDocument/2006/relationships/hyperlink" Id="rId20" Target="https://mperspektiva.ru/topics/nashi-eksperty-vsegda-tshchatelno-podkhodyat-k-rabote-vne-zavisimosti-ot-proek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2025-06-14T09:31:30Z</dcterms:created>
  <dcterms:modified xsi:type="dcterms:W3CDTF">2025-06-14T09:31:30Z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